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Fractyl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16,124,780.00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16,124,780.00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16,124,780.00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16,124,780.00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16,124,780.00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16,124,780.00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16,124,780.00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16,124,780.00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16,124,780.00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Fractyl Health,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VAN DE GRAAFF DRIVE SUITE 200 BURLINGTON, MASSACHUSETTS, 01803</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16,124,780 Shares held by funds and separately managed accounts under its control, and as the managing members of Nantahala, each of Messrs. Harkey and Mack may be deemed to be a beneficial owner of those Shares. The 16,124,780 Shares Include 2,760,261 Shares which may be acquired by the Reporting Persons within sixty days through the exercise of convertible securities.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9.99% (2) Wilmot B. Harkey: 9.99% (3) Daniel Mack: 9.99%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16,124,780 Shares. (2) Wilmot B. Harkey: 16,124,780 Shares. (3) Daniel Mack: 16,124,780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16,124,780 Shares. (2) Wilmot B. Harkey: 16,124,780 Shares. (3) Daniel Mack: 16,124,780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1312</Words>
  <Characters>6859</Characters>
  <CharactersWithSpaces>8121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